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0" w:beforeAutospacing="0" w:after="0" w:afterLines="0" w:afterAutospacing="0" w:line="600" w:lineRule="exact"/>
        <w:ind w:left="0" w:right="0" w:firstLine="623"/>
        <w:rPr>
          <w:rFonts w:hint="eastAsia" w:ascii="黑体" w:hAnsi="黑体" w:eastAsia="黑体" w:cs="黑体"/>
          <w:color w:val="333333"/>
          <w:sz w:val="32"/>
          <w:szCs w:val="32"/>
        </w:rPr>
      </w:pPr>
      <w:r>
        <w:rPr>
          <w:rFonts w:hint="eastAsia" w:ascii="黑体" w:hAnsi="黑体" w:eastAsia="黑体" w:cs="黑体"/>
          <w:color w:val="333333"/>
          <w:sz w:val="32"/>
          <w:szCs w:val="32"/>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0" w:beforeAutospacing="0" w:after="0" w:afterLines="0" w:afterAutospacing="0" w:line="600" w:lineRule="exact"/>
        <w:ind w:left="0" w:right="0" w:firstLine="623"/>
        <w:rPr>
          <w:rFonts w:hint="eastAsia" w:ascii="黑体" w:hAnsi="黑体" w:eastAsia="黑体" w:cs="黑体"/>
          <w:color w:val="333333"/>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0" w:beforeAutospacing="0" w:after="0" w:afterLines="0" w:afterAutospacing="0" w:line="600" w:lineRule="exact"/>
        <w:ind w:left="0" w:right="0" w:firstLine="880" w:firstLineChars="20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浙江省哲学社会科学专项资金资助标准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0" w:beforeAutospacing="0" w:after="0" w:afterLines="0" w:afterAutospacing="0" w:line="200" w:lineRule="exact"/>
        <w:ind w:left="0" w:right="0" w:firstLine="880" w:firstLineChars="200"/>
        <w:jc w:val="center"/>
        <w:rPr>
          <w:rFonts w:hint="eastAsia" w:ascii="方正小标宋简体" w:hAnsi="方正小标宋简体" w:eastAsia="方正小标宋简体" w:cs="方正小标宋简体"/>
          <w:color w:val="000000"/>
          <w:sz w:val="44"/>
          <w:szCs w:val="44"/>
        </w:rPr>
      </w:pPr>
    </w:p>
    <w:tbl>
      <w:tblPr>
        <w:tblStyle w:val="5"/>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376"/>
        <w:gridCol w:w="2925"/>
        <w:gridCol w:w="1575"/>
        <w:gridCol w:w="377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93" w:hRule="atLeast"/>
          <w:tblHeader/>
          <w:jc w:val="center"/>
        </w:trPr>
        <w:tc>
          <w:tcPr>
            <w:tcW w:w="1376"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uto"/>
              <w:ind w:left="0" w:right="0"/>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支持范围</w:t>
            </w:r>
          </w:p>
        </w:tc>
        <w:tc>
          <w:tcPr>
            <w:tcW w:w="2925" w:type="dxa"/>
            <w:tcBorders>
              <w:top w:val="single" w:color="auto" w:sz="4" w:space="0"/>
              <w:left w:val="nil"/>
              <w:bottom w:val="single" w:color="auto" w:sz="4" w:space="0"/>
              <w:right w:val="single" w:color="auto" w:sz="4" w:space="0"/>
            </w:tcBorders>
            <w:noWrap w:val="0"/>
            <w:tcMar>
              <w:top w:w="0" w:type="dxa"/>
              <w:left w:w="70" w:type="dxa"/>
              <w:bottom w:w="0" w:type="dxa"/>
              <w:right w:w="7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uto"/>
              <w:ind w:left="0" w:right="0"/>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具体内容</w:t>
            </w:r>
          </w:p>
        </w:tc>
        <w:tc>
          <w:tcPr>
            <w:tcW w:w="1575" w:type="dxa"/>
            <w:tcBorders>
              <w:top w:val="single" w:color="auto" w:sz="4" w:space="0"/>
              <w:left w:val="nil"/>
              <w:bottom w:val="single" w:color="auto" w:sz="4" w:space="0"/>
              <w:right w:val="single" w:color="auto" w:sz="4" w:space="0"/>
            </w:tcBorders>
            <w:noWrap w:val="0"/>
            <w:tcMar>
              <w:top w:w="0" w:type="dxa"/>
              <w:left w:w="70" w:type="dxa"/>
              <w:bottom w:w="0" w:type="dxa"/>
              <w:right w:w="7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uto"/>
              <w:ind w:left="0" w:right="0"/>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分配方式</w:t>
            </w:r>
          </w:p>
        </w:tc>
        <w:tc>
          <w:tcPr>
            <w:tcW w:w="3776" w:type="dxa"/>
            <w:tcBorders>
              <w:top w:val="single" w:color="auto" w:sz="4" w:space="0"/>
              <w:left w:val="nil"/>
              <w:bottom w:val="single" w:color="auto" w:sz="4" w:space="0"/>
              <w:right w:val="single" w:color="auto" w:sz="4" w:space="0"/>
            </w:tcBorders>
            <w:noWrap w:val="0"/>
            <w:tcMar>
              <w:top w:w="0" w:type="dxa"/>
              <w:left w:w="70" w:type="dxa"/>
              <w:bottom w:w="0" w:type="dxa"/>
              <w:right w:w="7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uto"/>
              <w:ind w:left="0" w:right="0"/>
              <w:jc w:val="center"/>
              <w:rPr>
                <w:rFonts w:hint="eastAsia" w:ascii="黑体" w:hAnsi="黑体" w:eastAsia="黑体" w:cs="黑体"/>
                <w:b w:val="0"/>
                <w:bCs w:val="0"/>
                <w:sz w:val="30"/>
                <w:szCs w:val="30"/>
              </w:rPr>
            </w:pPr>
            <w:r>
              <w:rPr>
                <w:rFonts w:hint="eastAsia" w:ascii="黑体" w:hAnsi="黑体" w:eastAsia="黑体" w:cs="黑体"/>
                <w:b w:val="0"/>
                <w:bCs w:val="0"/>
                <w:sz w:val="30"/>
                <w:szCs w:val="30"/>
              </w:rPr>
              <w:t>资助标准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710" w:hRule="atLeast"/>
          <w:jc w:val="center"/>
        </w:trPr>
        <w:tc>
          <w:tcPr>
            <w:tcW w:w="1376" w:type="dxa"/>
            <w:tcBorders>
              <w:top w:val="nil"/>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课题研究</w:t>
            </w:r>
          </w:p>
        </w:tc>
        <w:tc>
          <w:tcPr>
            <w:tcW w:w="2925"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哲学社会科学规划课题、省社科联研究课题、省社科联科普课题</w:t>
            </w:r>
          </w:p>
        </w:tc>
        <w:tc>
          <w:tcPr>
            <w:tcW w:w="1575"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公开竞争为主，择优委托为辅</w:t>
            </w:r>
          </w:p>
        </w:tc>
        <w:tc>
          <w:tcPr>
            <w:tcW w:w="3776"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重大课题10-20万元，重点课题6-8万元，一般课题1-5万元，后补助项目1-6万元。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1930" w:hRule="atLeast"/>
          <w:jc w:val="center"/>
        </w:trPr>
        <w:tc>
          <w:tcPr>
            <w:tcW w:w="1376" w:type="dxa"/>
            <w:vMerge w:val="restart"/>
            <w:tcBorders>
              <w:top w:val="nil"/>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科研平台</w:t>
            </w:r>
          </w:p>
        </w:tc>
        <w:tc>
          <w:tcPr>
            <w:tcW w:w="2925"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新型智库</w:t>
            </w:r>
          </w:p>
        </w:tc>
        <w:tc>
          <w:tcPr>
            <w:tcW w:w="1575"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公开竞争为主，政府购买服务、择优委托为辅</w:t>
            </w:r>
          </w:p>
        </w:tc>
        <w:tc>
          <w:tcPr>
            <w:tcW w:w="3776"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结合我省哲学社会科学五年规划确定的建设数量，建设期内（下同）浙江省新型重点专业智库每年不超过150万元，浙江省重点培育智库每年不超过60万元。根据中期和期末绩效评估结果作动态调整。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1035" w:hRule="atLeast"/>
          <w:jc w:val="center"/>
        </w:trPr>
        <w:tc>
          <w:tcPr>
            <w:tcW w:w="1376" w:type="dxa"/>
            <w:vMerge w:val="continue"/>
            <w:tcBorders>
              <w:top w:val="nil"/>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spacing w:beforeLines="0" w:afterLines="0" w:line="360" w:lineRule="exact"/>
              <w:jc w:val="center"/>
              <w:rPr>
                <w:rFonts w:hint="eastAsia" w:ascii="仿宋_GB2312" w:hAnsi="仿宋_GB2312" w:eastAsia="仿宋_GB2312" w:cs="仿宋_GB2312"/>
                <w:color w:val="auto"/>
                <w:sz w:val="24"/>
                <w:szCs w:val="24"/>
              </w:rPr>
            </w:pPr>
          </w:p>
        </w:tc>
        <w:tc>
          <w:tcPr>
            <w:tcW w:w="2925"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省哲学社会科学重点研究基地</w:t>
            </w:r>
          </w:p>
        </w:tc>
        <w:tc>
          <w:tcPr>
            <w:tcW w:w="1575"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公开竞争为主，择优委托为辅</w:t>
            </w:r>
          </w:p>
        </w:tc>
        <w:tc>
          <w:tcPr>
            <w:tcW w:w="3776"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A类基地每年不超过80万元，B类基地每年不超过50万元。根据中期和期末绩效评估结果作动态调整。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820" w:hRule="atLeast"/>
          <w:jc w:val="center"/>
        </w:trPr>
        <w:tc>
          <w:tcPr>
            <w:tcW w:w="1376" w:type="dxa"/>
            <w:tcBorders>
              <w:top w:val="nil"/>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宣传普及</w:t>
            </w:r>
          </w:p>
        </w:tc>
        <w:tc>
          <w:tcPr>
            <w:tcW w:w="2925"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社科普及活动、社科普及基地建设、科普创新项目；优秀成果、优秀学者等宣传推介</w:t>
            </w:r>
          </w:p>
        </w:tc>
        <w:tc>
          <w:tcPr>
            <w:tcW w:w="1575" w:type="dxa"/>
            <w:vMerge w:val="restart"/>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政府购买服务</w:t>
            </w:r>
          </w:p>
        </w:tc>
        <w:tc>
          <w:tcPr>
            <w:tcW w:w="3776" w:type="dxa"/>
            <w:vMerge w:val="restart"/>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付款金额和方式根据合同约定。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610" w:hRule="atLeast"/>
          <w:jc w:val="center"/>
        </w:trPr>
        <w:tc>
          <w:tcPr>
            <w:tcW w:w="1376" w:type="dxa"/>
            <w:tcBorders>
              <w:top w:val="nil"/>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学术活动</w:t>
            </w:r>
          </w:p>
        </w:tc>
        <w:tc>
          <w:tcPr>
            <w:tcW w:w="2925"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省级重要学术、省级学会、民办社科研究机构学术活动。</w:t>
            </w:r>
          </w:p>
        </w:tc>
        <w:tc>
          <w:tcPr>
            <w:tcW w:w="1575" w:type="dxa"/>
            <w:vMerge w:val="continue"/>
            <w:tcBorders>
              <w:top w:val="nil"/>
              <w:left w:val="nil"/>
              <w:bottom w:val="single" w:color="auto" w:sz="4" w:space="0"/>
              <w:right w:val="single" w:color="auto" w:sz="4" w:space="0"/>
            </w:tcBorders>
            <w:noWrap w:val="0"/>
            <w:tcMar>
              <w:top w:w="0" w:type="dxa"/>
              <w:left w:w="70" w:type="dxa"/>
              <w:bottom w:w="0" w:type="dxa"/>
              <w:right w:w="70" w:type="dxa"/>
            </w:tcMar>
            <w:vAlign w:val="center"/>
          </w:tcPr>
          <w:p>
            <w:pPr>
              <w:spacing w:beforeLines="0" w:afterLines="0" w:line="360" w:lineRule="exact"/>
              <w:jc w:val="both"/>
              <w:rPr>
                <w:rFonts w:hint="eastAsia" w:ascii="仿宋_GB2312" w:hAnsi="仿宋_GB2312" w:eastAsia="仿宋_GB2312" w:cs="仿宋_GB2312"/>
                <w:color w:val="auto"/>
                <w:sz w:val="24"/>
                <w:szCs w:val="24"/>
              </w:rPr>
            </w:pPr>
          </w:p>
        </w:tc>
        <w:tc>
          <w:tcPr>
            <w:tcW w:w="3776" w:type="dxa"/>
            <w:vMerge w:val="continue"/>
            <w:tcBorders>
              <w:top w:val="nil"/>
              <w:left w:val="nil"/>
              <w:bottom w:val="single" w:color="auto" w:sz="4" w:space="0"/>
              <w:right w:val="single" w:color="auto" w:sz="4" w:space="0"/>
            </w:tcBorders>
            <w:noWrap w:val="0"/>
            <w:tcMar>
              <w:top w:w="0" w:type="dxa"/>
              <w:left w:w="70" w:type="dxa"/>
              <w:bottom w:w="0" w:type="dxa"/>
              <w:right w:w="70" w:type="dxa"/>
            </w:tcMar>
            <w:vAlign w:val="center"/>
          </w:tcPr>
          <w:p>
            <w:pPr>
              <w:spacing w:beforeLines="0" w:afterLines="0" w:line="360" w:lineRule="exact"/>
              <w:jc w:val="both"/>
              <w:rPr>
                <w:rFonts w:hint="eastAsia" w:ascii="仿宋_GB2312" w:hAnsi="仿宋_GB2312" w:eastAsia="仿宋_GB2312" w:cs="仿宋_GB2312"/>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1580" w:hRule="atLeast"/>
          <w:jc w:val="center"/>
        </w:trPr>
        <w:tc>
          <w:tcPr>
            <w:tcW w:w="1376" w:type="dxa"/>
            <w:tcBorders>
              <w:top w:val="nil"/>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人才培养</w:t>
            </w:r>
          </w:p>
        </w:tc>
        <w:tc>
          <w:tcPr>
            <w:tcW w:w="2925"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哲学社会科学人才和队伍建设，之江青年社科学者行动计划中的小组活动和浙江发展研究中心分中心活动。</w:t>
            </w:r>
          </w:p>
        </w:tc>
        <w:tc>
          <w:tcPr>
            <w:tcW w:w="1575"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公开竞争为主，择优委托为辅</w:t>
            </w:r>
          </w:p>
        </w:tc>
        <w:tc>
          <w:tcPr>
            <w:tcW w:w="3776"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之江青年活动小组财政资助额度为每年每个小组不超过15万元，浙江发展研究中心每年每个分中心为不超过40万元。根据中期和期末绩效评估结果作动态调整。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1032" w:hRule="atLeast"/>
          <w:jc w:val="center"/>
        </w:trPr>
        <w:tc>
          <w:tcPr>
            <w:tcW w:w="1376" w:type="dxa"/>
            <w:tcBorders>
              <w:top w:val="nil"/>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省哲学社会科学优秀成果奖励</w:t>
            </w:r>
          </w:p>
        </w:tc>
        <w:tc>
          <w:tcPr>
            <w:tcW w:w="2925"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keepNext w:val="0"/>
              <w:keepLines w:val="0"/>
              <w:widowControl/>
              <w:suppressLineNumbers w:val="0"/>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p>
        </w:tc>
        <w:tc>
          <w:tcPr>
            <w:tcW w:w="1575"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公开竞争</w:t>
            </w:r>
          </w:p>
        </w:tc>
        <w:tc>
          <w:tcPr>
            <w:tcW w:w="3776"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奖励额度为一等奖8-10万元，二等奖3-5万元，青年奖1-3万元。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960" w:hRule="atLeast"/>
          <w:jc w:val="center"/>
        </w:trPr>
        <w:tc>
          <w:tcPr>
            <w:tcW w:w="1376" w:type="dxa"/>
            <w:tcBorders>
              <w:top w:val="nil"/>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省级社会科学学术著作出版</w:t>
            </w:r>
          </w:p>
        </w:tc>
        <w:tc>
          <w:tcPr>
            <w:tcW w:w="2925"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keepNext w:val="0"/>
              <w:keepLines w:val="0"/>
              <w:widowControl/>
              <w:suppressLineNumbers w:val="0"/>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p>
        </w:tc>
        <w:tc>
          <w:tcPr>
            <w:tcW w:w="1575"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公开竞争为主，择优委托为辅</w:t>
            </w:r>
          </w:p>
        </w:tc>
        <w:tc>
          <w:tcPr>
            <w:tcW w:w="3776"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根据评审结果，分为全额资助和部分资助。全额资助额度以出版合同为准，部分资助额度为1.5-3万元。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10" w:hRule="atLeast"/>
          <w:jc w:val="center"/>
        </w:trPr>
        <w:tc>
          <w:tcPr>
            <w:tcW w:w="1376" w:type="dxa"/>
            <w:vMerge w:val="restart"/>
            <w:tcBorders>
              <w:top w:val="nil"/>
              <w:left w:val="single" w:color="auto" w:sz="4" w:space="0"/>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rPr>
                <w:rFonts w:hint="eastAsia" w:ascii="仿宋_GB2312" w:hAnsi="仿宋_GB2312" w:eastAsia="仿宋_GB2312" w:cs="仿宋_GB2312"/>
                <w:color w:val="auto"/>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360" w:lineRule="exact"/>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浙江文化研究工程项目研究</w:t>
            </w:r>
          </w:p>
        </w:tc>
        <w:tc>
          <w:tcPr>
            <w:tcW w:w="2925"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研究类项目</w:t>
            </w:r>
          </w:p>
        </w:tc>
        <w:tc>
          <w:tcPr>
            <w:tcW w:w="1575" w:type="dxa"/>
            <w:vMerge w:val="restart"/>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公开竞争为主，择优委托为辅</w:t>
            </w:r>
          </w:p>
        </w:tc>
        <w:tc>
          <w:tcPr>
            <w:tcW w:w="3776"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10-15万元/册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40" w:hRule="atLeast"/>
          <w:jc w:val="center"/>
        </w:trPr>
        <w:tc>
          <w:tcPr>
            <w:tcW w:w="1376" w:type="dxa"/>
            <w:vMerge w:val="continue"/>
            <w:tcBorders>
              <w:top w:val="nil"/>
              <w:left w:val="single" w:color="auto" w:sz="4" w:space="0"/>
              <w:bottom w:val="single" w:color="auto" w:sz="4" w:space="0"/>
              <w:right w:val="single" w:color="auto" w:sz="4" w:space="0"/>
            </w:tcBorders>
            <w:noWrap w:val="0"/>
            <w:tcMar>
              <w:top w:w="0" w:type="dxa"/>
              <w:left w:w="70" w:type="dxa"/>
              <w:bottom w:w="0" w:type="dxa"/>
              <w:right w:w="70" w:type="dxa"/>
            </w:tcMar>
            <w:vAlign w:val="top"/>
          </w:tcPr>
          <w:p>
            <w:pPr>
              <w:spacing w:beforeLines="0" w:afterLines="0" w:line="360" w:lineRule="exact"/>
              <w:jc w:val="both"/>
              <w:rPr>
                <w:rFonts w:hint="eastAsia" w:ascii="仿宋_GB2312" w:hAnsi="仿宋_GB2312" w:eastAsia="仿宋_GB2312" w:cs="仿宋_GB2312"/>
                <w:color w:val="auto"/>
                <w:sz w:val="24"/>
                <w:szCs w:val="24"/>
              </w:rPr>
            </w:pPr>
          </w:p>
        </w:tc>
        <w:tc>
          <w:tcPr>
            <w:tcW w:w="2925"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点校本、笺校本等古籍整理/研究</w:t>
            </w:r>
          </w:p>
        </w:tc>
        <w:tc>
          <w:tcPr>
            <w:tcW w:w="1575" w:type="dxa"/>
            <w:vMerge w:val="continue"/>
            <w:tcBorders>
              <w:top w:val="nil"/>
              <w:left w:val="nil"/>
              <w:bottom w:val="single" w:color="auto" w:sz="4" w:space="0"/>
              <w:right w:val="single" w:color="auto" w:sz="4" w:space="0"/>
            </w:tcBorders>
            <w:noWrap w:val="0"/>
            <w:tcMar>
              <w:top w:w="0" w:type="dxa"/>
              <w:left w:w="70" w:type="dxa"/>
              <w:bottom w:w="0" w:type="dxa"/>
              <w:right w:w="70" w:type="dxa"/>
            </w:tcMar>
            <w:vAlign w:val="center"/>
          </w:tcPr>
          <w:p>
            <w:pPr>
              <w:widowControl/>
              <w:snapToGrid w:val="0"/>
              <w:spacing w:beforeLines="0" w:afterLines="0" w:line="360" w:lineRule="exact"/>
              <w:jc w:val="both"/>
              <w:rPr>
                <w:rFonts w:hint="eastAsia" w:ascii="仿宋_GB2312" w:hAnsi="仿宋_GB2312" w:eastAsia="仿宋_GB2312" w:cs="仿宋_GB2312"/>
                <w:color w:val="auto"/>
                <w:sz w:val="24"/>
                <w:szCs w:val="24"/>
              </w:rPr>
            </w:pPr>
          </w:p>
        </w:tc>
        <w:tc>
          <w:tcPr>
            <w:tcW w:w="3776"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7-15万元/册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365" w:hRule="atLeast"/>
          <w:jc w:val="center"/>
        </w:trPr>
        <w:tc>
          <w:tcPr>
            <w:tcW w:w="1376" w:type="dxa"/>
            <w:vMerge w:val="continue"/>
            <w:tcBorders>
              <w:top w:val="nil"/>
              <w:left w:val="single" w:color="auto" w:sz="4" w:space="0"/>
              <w:bottom w:val="single" w:color="auto" w:sz="4" w:space="0"/>
              <w:right w:val="single" w:color="auto" w:sz="4" w:space="0"/>
            </w:tcBorders>
            <w:noWrap w:val="0"/>
            <w:tcMar>
              <w:top w:w="0" w:type="dxa"/>
              <w:left w:w="70" w:type="dxa"/>
              <w:bottom w:w="0" w:type="dxa"/>
              <w:right w:w="70" w:type="dxa"/>
            </w:tcMar>
            <w:vAlign w:val="top"/>
          </w:tcPr>
          <w:p>
            <w:pPr>
              <w:spacing w:beforeLines="0" w:afterLines="0" w:line="360" w:lineRule="exact"/>
              <w:jc w:val="both"/>
              <w:rPr>
                <w:rFonts w:hint="eastAsia" w:ascii="仿宋_GB2312" w:hAnsi="仿宋_GB2312" w:eastAsia="仿宋_GB2312" w:cs="仿宋_GB2312"/>
                <w:color w:val="auto"/>
                <w:sz w:val="24"/>
                <w:szCs w:val="24"/>
              </w:rPr>
            </w:pPr>
          </w:p>
        </w:tc>
        <w:tc>
          <w:tcPr>
            <w:tcW w:w="2925"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标点本等古籍整理/研究</w:t>
            </w:r>
          </w:p>
        </w:tc>
        <w:tc>
          <w:tcPr>
            <w:tcW w:w="1575" w:type="dxa"/>
            <w:vMerge w:val="continue"/>
            <w:tcBorders>
              <w:top w:val="nil"/>
              <w:left w:val="nil"/>
              <w:bottom w:val="single" w:color="auto" w:sz="4" w:space="0"/>
              <w:right w:val="single" w:color="auto" w:sz="4" w:space="0"/>
            </w:tcBorders>
            <w:noWrap w:val="0"/>
            <w:tcMar>
              <w:top w:w="0" w:type="dxa"/>
              <w:left w:w="70" w:type="dxa"/>
              <w:bottom w:w="0" w:type="dxa"/>
              <w:right w:w="70" w:type="dxa"/>
            </w:tcMar>
            <w:vAlign w:val="center"/>
          </w:tcPr>
          <w:p>
            <w:pPr>
              <w:widowControl/>
              <w:snapToGrid w:val="0"/>
              <w:spacing w:beforeLines="0" w:afterLines="0" w:line="360" w:lineRule="exact"/>
              <w:jc w:val="both"/>
              <w:rPr>
                <w:rFonts w:hint="eastAsia" w:ascii="仿宋_GB2312" w:hAnsi="仿宋_GB2312" w:eastAsia="仿宋_GB2312" w:cs="仿宋_GB2312"/>
                <w:color w:val="auto"/>
                <w:sz w:val="24"/>
                <w:szCs w:val="24"/>
              </w:rPr>
            </w:pPr>
          </w:p>
        </w:tc>
        <w:tc>
          <w:tcPr>
            <w:tcW w:w="3776"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4-8万元/册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90" w:hRule="atLeast"/>
          <w:jc w:val="center"/>
        </w:trPr>
        <w:tc>
          <w:tcPr>
            <w:tcW w:w="1376" w:type="dxa"/>
            <w:vMerge w:val="continue"/>
            <w:tcBorders>
              <w:top w:val="nil"/>
              <w:left w:val="single" w:color="auto" w:sz="4" w:space="0"/>
              <w:bottom w:val="single" w:color="auto" w:sz="4" w:space="0"/>
              <w:right w:val="single" w:color="auto" w:sz="4" w:space="0"/>
            </w:tcBorders>
            <w:noWrap w:val="0"/>
            <w:tcMar>
              <w:top w:w="0" w:type="dxa"/>
              <w:left w:w="70" w:type="dxa"/>
              <w:bottom w:w="0" w:type="dxa"/>
              <w:right w:w="70" w:type="dxa"/>
            </w:tcMar>
            <w:vAlign w:val="top"/>
          </w:tcPr>
          <w:p>
            <w:pPr>
              <w:spacing w:beforeLines="0" w:afterLines="0" w:line="360" w:lineRule="exact"/>
              <w:jc w:val="both"/>
              <w:rPr>
                <w:rFonts w:hint="eastAsia" w:ascii="仿宋_GB2312" w:hAnsi="仿宋_GB2312" w:eastAsia="仿宋_GB2312" w:cs="仿宋_GB2312"/>
                <w:color w:val="auto"/>
                <w:sz w:val="24"/>
                <w:szCs w:val="24"/>
              </w:rPr>
            </w:pPr>
          </w:p>
        </w:tc>
        <w:tc>
          <w:tcPr>
            <w:tcW w:w="2925"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文献稿本、抄本、资料等整理影印</w:t>
            </w:r>
          </w:p>
        </w:tc>
        <w:tc>
          <w:tcPr>
            <w:tcW w:w="1575" w:type="dxa"/>
            <w:vMerge w:val="continue"/>
            <w:tcBorders>
              <w:top w:val="nil"/>
              <w:left w:val="nil"/>
              <w:bottom w:val="single" w:color="auto" w:sz="4" w:space="0"/>
              <w:right w:val="single" w:color="auto" w:sz="4" w:space="0"/>
            </w:tcBorders>
            <w:noWrap w:val="0"/>
            <w:tcMar>
              <w:top w:w="0" w:type="dxa"/>
              <w:left w:w="70" w:type="dxa"/>
              <w:bottom w:w="0" w:type="dxa"/>
              <w:right w:w="70" w:type="dxa"/>
            </w:tcMar>
            <w:vAlign w:val="center"/>
          </w:tcPr>
          <w:p>
            <w:pPr>
              <w:widowControl/>
              <w:snapToGrid w:val="0"/>
              <w:spacing w:beforeLines="0" w:afterLines="0" w:line="360" w:lineRule="exact"/>
              <w:jc w:val="both"/>
              <w:rPr>
                <w:rFonts w:hint="eastAsia" w:ascii="仿宋_GB2312" w:hAnsi="仿宋_GB2312" w:eastAsia="仿宋_GB2312" w:cs="仿宋_GB2312"/>
                <w:color w:val="auto"/>
                <w:sz w:val="24"/>
                <w:szCs w:val="24"/>
              </w:rPr>
            </w:pPr>
          </w:p>
        </w:tc>
        <w:tc>
          <w:tcPr>
            <w:tcW w:w="3776" w:type="dxa"/>
            <w:tcBorders>
              <w:top w:val="nil"/>
              <w:left w:val="nil"/>
              <w:bottom w:val="single" w:color="auto" w:sz="4" w:space="0"/>
              <w:right w:val="single" w:color="auto" w:sz="4" w:space="0"/>
            </w:tcBorders>
            <w:noWrap w:val="0"/>
            <w:tcMar>
              <w:top w:w="0" w:type="dxa"/>
              <w:left w:w="70" w:type="dxa"/>
              <w:bottom w:w="0" w:type="dxa"/>
              <w:right w:w="7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Lines="0" w:beforeAutospacing="0" w:after="0" w:afterLines="0" w:afterAutospacing="0" w:line="360" w:lineRule="exact"/>
              <w:ind w:left="0" w:right="0"/>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0.5-1万元/册</w:t>
            </w:r>
          </w:p>
        </w:tc>
      </w:tr>
    </w:tbl>
    <w:p>
      <w:pPr>
        <w:tabs>
          <w:tab w:val="left" w:pos="1003"/>
        </w:tabs>
        <w:bidi w:val="0"/>
        <w:snapToGrid w:val="0"/>
        <w:spacing w:beforeLines="0" w:afterLines="0" w:line="20" w:lineRule="exact"/>
        <w:jc w:val="left"/>
        <w:rPr>
          <w:rFonts w:ascii="Calibri" w:hAnsi="Calibri" w:eastAsia="宋体" w:cs="Times New Roman"/>
          <w:kern w:val="2"/>
          <w:sz w:val="21"/>
          <w:szCs w:val="22"/>
          <w:lang w:val="en-US" w:eastAsia="zh-CN" w:bidi="ar-SA"/>
        </w:rPr>
      </w:pPr>
    </w:p>
    <w:p>
      <w:pPr>
        <w:snapToGrid/>
        <w:spacing w:line="240" w:lineRule="auto"/>
        <w:jc w:val="left"/>
        <w:rPr>
          <w:rFonts w:hint="eastAsia"/>
          <w:kern w:val="2"/>
          <w:sz w:val="21"/>
          <w:szCs w:val="24"/>
          <w:lang w:val="en-US" w:eastAsia="zh-CN" w:bidi="ar-SA"/>
        </w:rPr>
      </w:pPr>
    </w:p>
    <w:p>
      <w:pPr>
        <w:pStyle w:val="2"/>
        <w:rPr>
          <w:rFonts w:hint="eastAsia"/>
          <w:kern w:val="2"/>
          <w:sz w:val="21"/>
          <w:szCs w:val="24"/>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2000000000000000000"/>
    <w:charset w:val="00"/>
    <w:family w:val="script"/>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FC83E"/>
    <w:rsid w:val="63EFC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ind w:left="214"/>
    </w:pPr>
    <w:rPr>
      <w:sz w:val="32"/>
      <w:szCs w:val="32"/>
    </w:rPr>
  </w:style>
  <w:style w:type="paragraph" w:styleId="3">
    <w:name w:val="index 7"/>
    <w:basedOn w:val="1"/>
    <w:next w:val="1"/>
    <w:qFormat/>
    <w:uiPriority w:val="0"/>
    <w:pPr>
      <w:ind w:left="2520"/>
    </w:pPr>
    <w:rPr>
      <w:rFonts w:ascii="Calibri" w:hAnsi="Calibri" w:eastAsia="宋体" w:cs="Times New Roma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2022-12-05T19:51:00Z</dcterms:created>
  <dc:creator>歪才公子</dc:creator>
  <cp:lastModifiedBy>歪才公子</cp:lastModifiedBy>
  <dcterms:modified xsi:type="dcterms:W3CDTF">2022-12-05T19:51:41Z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736366667279C25536DB8D6308EB6BC1</vt:lpwstr>
  </property>
</Properties>
</file>